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34" w:rsidRPr="00B036FD" w:rsidRDefault="00350217" w:rsidP="001E32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 № 15</w:t>
      </w:r>
    </w:p>
    <w:p w:rsidR="001E3234" w:rsidRDefault="00350217" w:rsidP="001E32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30.09.2019г. от 19</w:t>
      </w:r>
      <w:r w:rsidR="001E3234">
        <w:rPr>
          <w:rFonts w:ascii="Times New Roman" w:hAnsi="Times New Roman" w:cs="Times New Roman"/>
          <w:sz w:val="24"/>
          <w:szCs w:val="24"/>
        </w:rPr>
        <w:t>:00</w:t>
      </w:r>
      <w:r w:rsidR="001E3234" w:rsidRPr="009165BD">
        <w:rPr>
          <w:rFonts w:ascii="Times New Roman" w:hAnsi="Times New Roman" w:cs="Times New Roman"/>
          <w:sz w:val="24"/>
          <w:szCs w:val="24"/>
        </w:rPr>
        <w:t xml:space="preserve"> ч. Общинска избирателна комисия гр. Вълчедръм проведе заседание при следния дневен ред</w:t>
      </w:r>
      <w:r w:rsidR="001E3234" w:rsidRPr="009165B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3234" w:rsidRDefault="001E3234" w:rsidP="001E32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50217">
        <w:rPr>
          <w:rFonts w:ascii="Times New Roman" w:hAnsi="Times New Roman" w:cs="Times New Roman"/>
          <w:sz w:val="24"/>
          <w:szCs w:val="24"/>
        </w:rPr>
        <w:t>Утвърждаване на графичен файл на образци на бюлетини в изборите за общински съветници и за кметове в Община Вълчедръм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234" w:rsidRDefault="001E3234" w:rsidP="001E3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931"/>
        <w:gridCol w:w="4948"/>
      </w:tblGrid>
      <w:tr w:rsidR="001E3234" w:rsidTr="002B581A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3234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1E3234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1E3234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1E3234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Теодора Валентинова Тодорова</w:t>
            </w:r>
          </w:p>
        </w:tc>
      </w:tr>
      <w:tr w:rsidR="001E3234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1E3234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</w:tc>
      </w:tr>
      <w:tr w:rsidR="001E3234" w:rsidRPr="007C2FA7" w:rsidTr="002B581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E3234" w:rsidRPr="007C2FA7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1E3234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  <w:p w:rsidR="001E3234" w:rsidRPr="00B35F70" w:rsidRDefault="001E3234" w:rsidP="002B581A">
            <w:pPr>
              <w:jc w:val="both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:rsidR="001E3234" w:rsidRDefault="001E3234" w:rsidP="001E32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234" w:rsidRDefault="001E3234" w:rsidP="001E32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386" w:rsidRDefault="00C47386" w:rsidP="001E32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234" w:rsidRDefault="001E3234" w:rsidP="001E32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първа точка от дневния ред докладва Председателят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350217" w:rsidRDefault="000C4DAA" w:rsidP="003502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="00350217"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Решение № 1130 – МИ от 18 септември 2019 г. и Решение № 630 – МИ</w:t>
      </w:r>
      <w:r w:rsidR="00350217" w:rsidRPr="000B2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0217"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20 август 2019 г. Централната избирателна комисия е определила техническите характеристики  и образците на бюлетините в изборите за общински съветници и за кметове на 27 октомври 2019 г. – Приложение № 100-МИ бюлетина за общински съветници,Приложение №101-МИ бюлетина за кмет на община и Приложение №103-МИ бюлетина за кмет на кметство от изборните книжа. Съгласно разпоредбите на чл. 87, ал. 1, т. 9 Общинската избирателна комисия утвърждава образците на бюлетините за общински съветници и за кметове.</w:t>
      </w:r>
    </w:p>
    <w:p w:rsidR="001E3234" w:rsidRDefault="001E3234" w:rsidP="001E3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50217" w:rsidRDefault="00350217" w:rsidP="001E3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Предлагам на основание </w:t>
      </w: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чл.87, ал.1, т.9 от Изборния кодекс и № 1130 – МИ от 18 септември 2019 г. и Решение № 630 – МИ от 20 август 2019 г. Централната избирателна комисия, във връзка с чл.208 и чл.209 от Изборния кодекс и Решение № 71/30.09.2019 г. на ОИК Вълчедръм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относно заличаване на регистрацията на регистриран кандидат за кмет на кметство с. Мокреш, предложен от ПП „АТАКА“, ОИК</w:t>
      </w: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Вълчедръм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 вземе решение да утвърди графичния файл на образците на бюлетини за общински съветници, кмет на Община Вълчедръм и кмет на кметство в изборите за общински съветници и за кметове в Община Вълчедръм на 27 октомври 2019 г.</w:t>
      </w:r>
      <w:r w:rsidR="000C4D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</w:p>
    <w:p w:rsidR="00350217" w:rsidRDefault="00350217" w:rsidP="001E3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1E3234" w:rsidRPr="00D159A0" w:rsidRDefault="001E3234" w:rsidP="001E3234">
      <w:pPr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1E3234" w:rsidRPr="000A567E" w:rsidRDefault="001E3234" w:rsidP="001E3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11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350217" w:rsidRPr="000B2125" w:rsidRDefault="00350217" w:rsidP="0035021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B2125">
        <w:rPr>
          <w:rFonts w:ascii="Times New Roman" w:hAnsi="Times New Roman" w:cs="Times New Roman"/>
          <w:sz w:val="32"/>
          <w:szCs w:val="32"/>
        </w:rPr>
        <w:t>РЕШЕНИЕ №</w:t>
      </w:r>
      <w:r w:rsidRPr="000B2125">
        <w:rPr>
          <w:rFonts w:ascii="Times New Roman" w:hAnsi="Times New Roman" w:cs="Times New Roman"/>
          <w:sz w:val="32"/>
          <w:szCs w:val="32"/>
          <w:lang w:val="en-US"/>
        </w:rPr>
        <w:t xml:space="preserve"> 72</w:t>
      </w:r>
      <w:r w:rsidRPr="000B2125">
        <w:rPr>
          <w:rFonts w:ascii="Times New Roman" w:eastAsia="Times New Roman" w:hAnsi="Times New Roman" w:cs="Times New Roman"/>
          <w:sz w:val="32"/>
          <w:szCs w:val="32"/>
        </w:rPr>
        <w:t>/</w:t>
      </w:r>
      <w:r w:rsidRPr="000B2125">
        <w:rPr>
          <w:rFonts w:ascii="Times New Roman" w:hAnsi="Times New Roman" w:cs="Times New Roman"/>
          <w:sz w:val="32"/>
          <w:szCs w:val="32"/>
          <w:lang w:val="en-US"/>
        </w:rPr>
        <w:t>30</w:t>
      </w:r>
      <w:r w:rsidRPr="000B2125">
        <w:rPr>
          <w:rFonts w:ascii="Times New Roman" w:eastAsia="Times New Roman" w:hAnsi="Times New Roman" w:cs="Times New Roman"/>
          <w:sz w:val="32"/>
          <w:szCs w:val="32"/>
        </w:rPr>
        <w:t>.09.201</w:t>
      </w:r>
      <w:r w:rsidRPr="000B2125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9 </w:t>
      </w:r>
      <w:r w:rsidRPr="000B2125"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350217" w:rsidRDefault="00350217" w:rsidP="003502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B2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ОТНОСНО: </w:t>
      </w:r>
      <w:r w:rsidRPr="000B21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Утвърждаване образците на бюлетините за гласуване в изборите за общински съветници и за кметове на 2</w:t>
      </w:r>
      <w:r w:rsidRPr="000B21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B21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октомври 2019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г. в О</w:t>
      </w:r>
      <w:r w:rsidRPr="000B21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бщина Вълчедръм</w:t>
      </w:r>
    </w:p>
    <w:p w:rsidR="00350217" w:rsidRPr="000B2125" w:rsidRDefault="00350217" w:rsidP="003502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350217" w:rsidRDefault="00350217" w:rsidP="003502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40A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 Решение № 1130 – МИ от 18 септември 2019 г. и Решение № 630 – МИ</w:t>
      </w:r>
      <w:r w:rsidRPr="000B2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20 август 2019 г. Централната избирателна комисия е определила техническите характеристики  и образците на бюлетините в изборите за общински съветници и за кметове на 27 октомври 2019 г. – Приложение № 100-МИ бюлетина за общински съветници,Приложение №101-МИ бюлетина за кмет на община и Приложение №103-МИ бюлетина за кмет на кметство от изборните книжа. Съгласно разпоредбите на чл. 87, ал. 1, т. 9 Общинската избирателна комисия утвърждава образците на бюлетините за общински съветници и за кметове.</w:t>
      </w:r>
    </w:p>
    <w:p w:rsidR="00350217" w:rsidRPr="00DD40AE" w:rsidRDefault="00350217" w:rsidP="003502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50217" w:rsidRDefault="00350217" w:rsidP="003502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Предвид гореизложеното и на основание  чл.87, ал.1, т.9 от Изборния кодекс и № 1130 – МИ от 18 септември 2019 г. и Решение № 630 – МИ от 20 август 2019 г. Централната избирателна комисия, във връзка с чл.208 и чл.209 от Изборния кодекс и Решение № 71/30.09.2019 г. на ОИК Вълчедръм</w:t>
      </w:r>
      <w:r w:rsidR="000C4D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ОИК</w:t>
      </w: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Вълчедръм</w:t>
      </w:r>
    </w:p>
    <w:p w:rsidR="00C47386" w:rsidRDefault="00C47386" w:rsidP="003502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50217" w:rsidRPr="00DD40AE" w:rsidRDefault="00350217" w:rsidP="003502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50217" w:rsidRPr="000B2125" w:rsidRDefault="00350217" w:rsidP="0035021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B2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Р Е Ш И:</w:t>
      </w:r>
    </w:p>
    <w:p w:rsidR="00350217" w:rsidRPr="00DD40AE" w:rsidRDefault="00350217" w:rsidP="0035021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40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DD40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  </w:t>
      </w:r>
      <w:r w:rsidRPr="00DD40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I.</w:t>
      </w:r>
      <w:r w:rsidRPr="00DD40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DD40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Утвърждава</w:t>
      </w: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образците на бюлетините в изборите за общински съветници и за кметове на 27 октомври 2019 г. в Община Вълчедръм, както следва:</w:t>
      </w:r>
    </w:p>
    <w:p w:rsidR="00350217" w:rsidRPr="00DD40AE" w:rsidRDefault="00350217" w:rsidP="00350217">
      <w:pPr>
        <w:pStyle w:val="a3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произвеждане изборите за общински съветници съгласно приложени</w:t>
      </w: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4;</w:t>
      </w:r>
    </w:p>
    <w:p w:rsidR="00350217" w:rsidRPr="00DD40AE" w:rsidRDefault="00350217" w:rsidP="00350217">
      <w:pPr>
        <w:pStyle w:val="a3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произвеждане изборите за кмет на община съгласно приложения № 2</w:t>
      </w:r>
    </w:p>
    <w:p w:rsidR="00350217" w:rsidRPr="000C4DAA" w:rsidRDefault="00350217" w:rsidP="00350217">
      <w:pPr>
        <w:pStyle w:val="a3"/>
        <w:numPr>
          <w:ilvl w:val="0"/>
          <w:numId w:val="20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произвеждане изборите за кмет на кметство: с. Септемврийци, с. Черни връх,  с. Разград, с. Златия, с. Долни Цибър съгласно приложения № 1</w:t>
      </w:r>
    </w:p>
    <w:p w:rsidR="00350217" w:rsidRPr="00DD40AE" w:rsidRDefault="00350217" w:rsidP="00350217">
      <w:pPr>
        <w:pStyle w:val="a3"/>
        <w:numPr>
          <w:ilvl w:val="0"/>
          <w:numId w:val="2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D40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 утвърждава</w:t>
      </w:r>
      <w:r w:rsidRPr="00DD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образец на бюлетина за произвеждане на изборите за кмет на кметство с. Мокреш приложения № 1.</w:t>
      </w:r>
    </w:p>
    <w:p w:rsidR="00350217" w:rsidRPr="00DD40AE" w:rsidRDefault="00350217" w:rsidP="00350217">
      <w:pPr>
        <w:pStyle w:val="a3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0217" w:rsidRPr="00DD40AE" w:rsidRDefault="00350217" w:rsidP="00350217">
      <w:pPr>
        <w:pStyle w:val="a3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D40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Приложенията не се публикуват.</w:t>
      </w:r>
    </w:p>
    <w:p w:rsidR="005311A4" w:rsidRPr="000C4DAA" w:rsidRDefault="00350217" w:rsidP="000C4DA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0AE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1E3234" w:rsidRPr="00AC5031" w:rsidRDefault="001E3234" w:rsidP="00AC5031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="Times New Roman" w:hAnsi="Times New Roman" w:cs="Times New Roman"/>
          <w:sz w:val="24"/>
          <w:szCs w:val="24"/>
          <w:lang w:eastAsia="bg-BG"/>
        </w:rPr>
        <w:t>С това дневният ред беше изчерпан и заседанието закрито.</w:t>
      </w:r>
    </w:p>
    <w:p w:rsidR="001E3234" w:rsidRPr="00F75196" w:rsidRDefault="001E3234" w:rsidP="001E3234">
      <w:pPr>
        <w:ind w:left="705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Присъствали:</w:t>
      </w: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</w: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026"/>
        <w:gridCol w:w="4947"/>
      </w:tblGrid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</w:tr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Раина</w:t>
            </w:r>
            <w:proofErr w:type="spellEnd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 Боянова Иванова</w:t>
            </w:r>
          </w:p>
        </w:tc>
      </w:tr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Иванела</w:t>
            </w:r>
            <w:proofErr w:type="spellEnd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 Найденова Ценкова</w:t>
            </w:r>
          </w:p>
        </w:tc>
      </w:tr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Георги Тодоров </w:t>
            </w: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Главшин</w:t>
            </w:r>
            <w:proofErr w:type="spellEnd"/>
          </w:p>
        </w:tc>
      </w:tr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СЕКРЕТАР: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Теодора Валентинова Тодорова</w:t>
            </w:r>
          </w:p>
        </w:tc>
      </w:tr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ЧЛЕНОВЕ: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Галя Петкова Станева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Моника Стефанова Милчева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Иванка Цветанова </w:t>
            </w: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Рачина</w:t>
            </w:r>
            <w:proofErr w:type="spellEnd"/>
          </w:p>
        </w:tc>
      </w:tr>
      <w:tr w:rsidR="001E3234" w:rsidRPr="00F75196" w:rsidTr="002B581A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Галя Георгиева Рачкова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Цветана Тодорова Христова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Йордан Димитров Иванов</w:t>
            </w:r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 xml:space="preserve">Райка Благоева </w:t>
            </w:r>
            <w:proofErr w:type="spellStart"/>
            <w:r w:rsidRPr="00F75196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  <w:t>Торлашка</w:t>
            </w:r>
            <w:proofErr w:type="spellEnd"/>
          </w:p>
          <w:p w:rsidR="001E3234" w:rsidRPr="00F75196" w:rsidRDefault="001E3234" w:rsidP="002B58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bg-BG"/>
              </w:rPr>
            </w:pPr>
          </w:p>
        </w:tc>
      </w:tr>
    </w:tbl>
    <w:p w:rsidR="001E3234" w:rsidRPr="00F75196" w:rsidRDefault="001E3234" w:rsidP="001E3234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Председател:………………………</w:t>
      </w:r>
    </w:p>
    <w:p w:rsidR="001E3234" w:rsidRPr="00F75196" w:rsidRDefault="001E3234" w:rsidP="00753D4A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    /</w:t>
      </w:r>
      <w:proofErr w:type="spellStart"/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Иванова/</w:t>
      </w:r>
      <w:bookmarkStart w:id="0" w:name="_GoBack"/>
      <w:bookmarkEnd w:id="0"/>
    </w:p>
    <w:p w:rsidR="001E3234" w:rsidRPr="00F75196" w:rsidRDefault="001E3234" w:rsidP="001E3234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>Секретар:………………………..</w:t>
      </w:r>
    </w:p>
    <w:p w:rsidR="00A030D5" w:rsidRPr="005311A4" w:rsidRDefault="001E3234" w:rsidP="005311A4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F7519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     /Теодора Тодорова/</w:t>
      </w:r>
    </w:p>
    <w:sectPr w:rsidR="00A030D5" w:rsidRPr="005311A4" w:rsidSect="00AC5031">
      <w:pgSz w:w="11906" w:h="16838"/>
      <w:pgMar w:top="1417" w:right="170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29BB"/>
    <w:multiLevelType w:val="hybridMultilevel"/>
    <w:tmpl w:val="C07E5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75710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6122"/>
    <w:multiLevelType w:val="hybridMultilevel"/>
    <w:tmpl w:val="4858C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D13F5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013C8"/>
    <w:multiLevelType w:val="hybridMultilevel"/>
    <w:tmpl w:val="C4E6237A"/>
    <w:lvl w:ilvl="0" w:tplc="97E828F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002C53"/>
    <w:multiLevelType w:val="hybridMultilevel"/>
    <w:tmpl w:val="E48422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336B3"/>
    <w:multiLevelType w:val="hybridMultilevel"/>
    <w:tmpl w:val="D36C8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8223B"/>
    <w:multiLevelType w:val="hybridMultilevel"/>
    <w:tmpl w:val="DAF68A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B4BC1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A21D9"/>
    <w:multiLevelType w:val="hybridMultilevel"/>
    <w:tmpl w:val="84E6EACE"/>
    <w:lvl w:ilvl="0" w:tplc="99CCCA8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A0458"/>
    <w:multiLevelType w:val="hybridMultilevel"/>
    <w:tmpl w:val="2CEEFAC2"/>
    <w:lvl w:ilvl="0" w:tplc="DAC4254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8A432B9"/>
    <w:multiLevelType w:val="hybridMultilevel"/>
    <w:tmpl w:val="E48422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80895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814349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11BB7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5451CB"/>
    <w:multiLevelType w:val="hybridMultilevel"/>
    <w:tmpl w:val="022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A723C"/>
    <w:multiLevelType w:val="hybridMultilevel"/>
    <w:tmpl w:val="3F061374"/>
    <w:lvl w:ilvl="0" w:tplc="AB6CD9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23773"/>
    <w:multiLevelType w:val="hybridMultilevel"/>
    <w:tmpl w:val="9CC22F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D7373"/>
    <w:multiLevelType w:val="hybridMultilevel"/>
    <w:tmpl w:val="123A8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41CC9"/>
    <w:multiLevelType w:val="multilevel"/>
    <w:tmpl w:val="E28C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390B31"/>
    <w:multiLevelType w:val="hybridMultilevel"/>
    <w:tmpl w:val="9CC22F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8"/>
  </w:num>
  <w:num w:numId="4">
    <w:abstractNumId w:val="8"/>
  </w:num>
  <w:num w:numId="5">
    <w:abstractNumId w:val="2"/>
  </w:num>
  <w:num w:numId="6">
    <w:abstractNumId w:val="15"/>
  </w:num>
  <w:num w:numId="7">
    <w:abstractNumId w:val="3"/>
  </w:num>
  <w:num w:numId="8">
    <w:abstractNumId w:val="0"/>
  </w:num>
  <w:num w:numId="9">
    <w:abstractNumId w:val="6"/>
  </w:num>
  <w:num w:numId="10">
    <w:abstractNumId w:val="20"/>
  </w:num>
  <w:num w:numId="11">
    <w:abstractNumId w:val="11"/>
  </w:num>
  <w:num w:numId="12">
    <w:abstractNumId w:val="17"/>
  </w:num>
  <w:num w:numId="13">
    <w:abstractNumId w:val="5"/>
  </w:num>
  <w:num w:numId="14">
    <w:abstractNumId w:val="16"/>
  </w:num>
  <w:num w:numId="15">
    <w:abstractNumId w:val="4"/>
  </w:num>
  <w:num w:numId="16">
    <w:abstractNumId w:val="10"/>
  </w:num>
  <w:num w:numId="17">
    <w:abstractNumId w:val="14"/>
  </w:num>
  <w:num w:numId="18">
    <w:abstractNumId w:val="19"/>
  </w:num>
  <w:num w:numId="19">
    <w:abstractNumId w:val="12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78"/>
    <w:rsid w:val="000C4D3A"/>
    <w:rsid w:val="000C4DAA"/>
    <w:rsid w:val="000E12D8"/>
    <w:rsid w:val="00105A01"/>
    <w:rsid w:val="001E3234"/>
    <w:rsid w:val="002B27B1"/>
    <w:rsid w:val="002F1F5D"/>
    <w:rsid w:val="00350217"/>
    <w:rsid w:val="00435AE2"/>
    <w:rsid w:val="005311A4"/>
    <w:rsid w:val="00561478"/>
    <w:rsid w:val="005C1691"/>
    <w:rsid w:val="005F7DFC"/>
    <w:rsid w:val="0061033F"/>
    <w:rsid w:val="006717FB"/>
    <w:rsid w:val="00753D4A"/>
    <w:rsid w:val="007B4272"/>
    <w:rsid w:val="007B74FC"/>
    <w:rsid w:val="008E0C07"/>
    <w:rsid w:val="00952C2D"/>
    <w:rsid w:val="00960BFF"/>
    <w:rsid w:val="00A030D5"/>
    <w:rsid w:val="00A567D7"/>
    <w:rsid w:val="00AC5031"/>
    <w:rsid w:val="00BA1E33"/>
    <w:rsid w:val="00BF57CF"/>
    <w:rsid w:val="00C47386"/>
    <w:rsid w:val="00CA25DA"/>
    <w:rsid w:val="00DF7A64"/>
    <w:rsid w:val="00E56765"/>
    <w:rsid w:val="00F9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34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rsid w:val="001E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E3234"/>
  </w:style>
  <w:style w:type="character" w:styleId="a5">
    <w:name w:val="Strong"/>
    <w:basedOn w:val="a0"/>
    <w:uiPriority w:val="22"/>
    <w:qFormat/>
    <w:rsid w:val="001E3234"/>
    <w:rPr>
      <w:b/>
      <w:bCs/>
    </w:rPr>
  </w:style>
  <w:style w:type="paragraph" w:styleId="a6">
    <w:name w:val="Title"/>
    <w:basedOn w:val="a"/>
    <w:link w:val="a7"/>
    <w:qFormat/>
    <w:rsid w:val="001E3234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a7">
    <w:name w:val="Заглавие Знак"/>
    <w:basedOn w:val="a0"/>
    <w:link w:val="a6"/>
    <w:rsid w:val="001E3234"/>
    <w:rPr>
      <w:rFonts w:ascii="TmsCyr" w:eastAsia="Times New Roman" w:hAnsi="TmsCyr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34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rsid w:val="001E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E3234"/>
  </w:style>
  <w:style w:type="character" w:styleId="a5">
    <w:name w:val="Strong"/>
    <w:basedOn w:val="a0"/>
    <w:uiPriority w:val="22"/>
    <w:qFormat/>
    <w:rsid w:val="001E3234"/>
    <w:rPr>
      <w:b/>
      <w:bCs/>
    </w:rPr>
  </w:style>
  <w:style w:type="paragraph" w:styleId="a6">
    <w:name w:val="Title"/>
    <w:basedOn w:val="a"/>
    <w:link w:val="a7"/>
    <w:qFormat/>
    <w:rsid w:val="001E3234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a7">
    <w:name w:val="Заглавие Знак"/>
    <w:basedOn w:val="a0"/>
    <w:link w:val="a6"/>
    <w:rsid w:val="001E3234"/>
    <w:rPr>
      <w:rFonts w:ascii="TmsCyr" w:eastAsia="Times New Roman" w:hAnsi="TmsCyr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28</cp:revision>
  <dcterms:created xsi:type="dcterms:W3CDTF">2019-09-30T13:40:00Z</dcterms:created>
  <dcterms:modified xsi:type="dcterms:W3CDTF">2019-09-30T16:18:00Z</dcterms:modified>
</cp:coreProperties>
</file>