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A8777A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595950">
        <w:rPr>
          <w:rFonts w:ascii="Times New Roman" w:eastAsia="Times New Roman" w:hAnsi="Times New Roman" w:cs="Times New Roman"/>
          <w:b/>
          <w:sz w:val="24"/>
          <w:szCs w:val="24"/>
        </w:rPr>
        <w:t>36</w:t>
      </w:r>
    </w:p>
    <w:p w:rsidR="00705952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77A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FD0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от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5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17:30</w:t>
      </w:r>
      <w:r w:rsidR="00ED0A85" w:rsidRPr="00ED0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952" w:rsidRPr="00ED0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ED0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аса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 проведе заседание на ОИК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 при следния дневен ред:</w:t>
      </w:r>
    </w:p>
    <w:p w:rsidR="008C5DB5" w:rsidRPr="008C5DB5" w:rsidRDefault="008C5DB5" w:rsidP="008C5DB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DB5">
        <w:rPr>
          <w:rFonts w:ascii="Times New Roman" w:hAnsi="Times New Roman" w:cs="Times New Roman"/>
          <w:sz w:val="24"/>
          <w:szCs w:val="24"/>
        </w:rPr>
        <w:t>Одобряване на графичния  файл с обра</w:t>
      </w:r>
      <w:r w:rsidR="00595950">
        <w:rPr>
          <w:rFonts w:ascii="Times New Roman" w:hAnsi="Times New Roman" w:cs="Times New Roman"/>
          <w:sz w:val="24"/>
          <w:szCs w:val="24"/>
        </w:rPr>
        <w:t>зците  на бюлетините за  кмет</w:t>
      </w:r>
      <w:bookmarkStart w:id="0" w:name="_GoBack"/>
      <w:bookmarkEnd w:id="0"/>
      <w:r w:rsidRPr="008C5DB5">
        <w:rPr>
          <w:rFonts w:ascii="Times New Roman" w:hAnsi="Times New Roman" w:cs="Times New Roman"/>
          <w:sz w:val="24"/>
          <w:szCs w:val="24"/>
        </w:rPr>
        <w:t xml:space="preserve"> на кметство: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8C5DB5">
        <w:rPr>
          <w:rFonts w:ascii="Times New Roman" w:hAnsi="Times New Roman" w:cs="Times New Roman"/>
          <w:sz w:val="24"/>
          <w:szCs w:val="24"/>
        </w:rPr>
        <w:t xml:space="preserve"> Септемврийци,  </w:t>
      </w:r>
      <w:r>
        <w:rPr>
          <w:rFonts w:ascii="Times New Roman" w:hAnsi="Times New Roman" w:cs="Times New Roman"/>
          <w:sz w:val="24"/>
          <w:szCs w:val="24"/>
        </w:rPr>
        <w:t>с. Златия, с. Мокреш</w:t>
      </w:r>
      <w:r w:rsidRPr="008C5DB5">
        <w:rPr>
          <w:rFonts w:ascii="Times New Roman" w:hAnsi="Times New Roman" w:cs="Times New Roman"/>
          <w:sz w:val="24"/>
          <w:szCs w:val="24"/>
        </w:rPr>
        <w:t xml:space="preserve"> в изборите за общин</w:t>
      </w:r>
      <w:r>
        <w:rPr>
          <w:rFonts w:ascii="Times New Roman" w:hAnsi="Times New Roman" w:cs="Times New Roman"/>
          <w:sz w:val="24"/>
          <w:szCs w:val="24"/>
        </w:rPr>
        <w:t xml:space="preserve">ски съветници и за кметове на 03.11.2019 </w:t>
      </w:r>
      <w:r w:rsidRPr="008C5DB5">
        <w:rPr>
          <w:rFonts w:ascii="Times New Roman" w:hAnsi="Times New Roman" w:cs="Times New Roman"/>
          <w:sz w:val="24"/>
          <w:szCs w:val="24"/>
        </w:rPr>
        <w:t>г. втори тур  в изборен район 1211- Вълчедръм</w:t>
      </w:r>
    </w:p>
    <w:p w:rsidR="008C5DB5" w:rsidRPr="004A038F" w:rsidRDefault="008C5DB5" w:rsidP="00B13B6E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B85" w:rsidRDefault="00E73B85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D00" w:rsidRDefault="00B41D00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D3B" w:rsidRDefault="00833D3B" w:rsidP="00833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първа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8C5DB5" w:rsidRDefault="00833D3B" w:rsidP="008C5DB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8C5DB5"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Решение № 1130</w:t>
      </w:r>
      <w:r w:rsidR="00ED6B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8C5DB5"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 от 18 септ</w:t>
      </w:r>
      <w:r w:rsidR="00ED6B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ември 2019 г. и Решение № 630–</w:t>
      </w:r>
      <w:r w:rsidR="008C5DB5"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="008C5DB5" w:rsidRPr="000B2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DB5"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20 август 2019 г. Централната избирателна комисия е определила техническите характеристики  и образците на бюлетините в изборите за общински съветници и за кметове на 27 </w:t>
      </w:r>
      <w:r w:rsidR="00F56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октомври 2019 г. –</w:t>
      </w:r>
      <w:r w:rsidR="00ED6B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5DB5"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№103-МИ бюлетина за кмет на кметство от изборните книжа. Съгласно разпоредбите на чл. 87, ал. 1, т. 9</w:t>
      </w:r>
      <w:r w:rsidR="000E6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т.29</w:t>
      </w:r>
      <w:r w:rsidR="008C5DB5"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Общинската избирателна комисия утвърждава образците на бюлетините за общински съветници и за кметове.</w:t>
      </w:r>
    </w:p>
    <w:p w:rsidR="008C5DB5" w:rsidRDefault="008C5DB5" w:rsidP="008C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33D3B" w:rsidRPr="00D65A2F" w:rsidRDefault="008C5DB5" w:rsidP="008C5DB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Предлагам на основание 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чл.87, а</w:t>
      </w:r>
      <w:r w:rsidR="00F56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л.1, т.9</w:t>
      </w:r>
      <w:r w:rsidR="00ED6B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т.29</w:t>
      </w:r>
      <w:r w:rsidR="00F56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Изборния кодекс и №1130–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 от 18 септ</w:t>
      </w:r>
      <w:r w:rsidR="00F56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ември 2019 г. и Решение № 630–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 от 20 август 2019 г. Централната избирателна комисия, във връзка с чл.208 и чл.209 от </w:t>
      </w:r>
      <w:r w:rsidR="00F56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ОИК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Вълчедръм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вземе решение да утвърди графичния файл на образците на бюлетини </w:t>
      </w:r>
      <w:r w:rsidR="000E6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кметство</w:t>
      </w:r>
      <w:r w:rsidR="000E6D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 Септемврийци, с. Златия, с. Мокреш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изборите за общински съветници и за кметове в Община Вълчедръм на </w:t>
      </w:r>
      <w:r w:rsidR="00537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03 ноември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 г.</w:t>
      </w:r>
      <w:r w:rsidR="005377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втори тур</w:t>
      </w:r>
      <w:r w:rsidR="004803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</w:p>
    <w:p w:rsidR="00833D3B" w:rsidRDefault="00833D3B" w:rsidP="00833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33D3B" w:rsidRPr="00D159A0" w:rsidRDefault="00833D3B" w:rsidP="00833D3B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884482" w:rsidRDefault="00AB3C69" w:rsidP="00833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гласувано.</w:t>
      </w:r>
      <w:r w:rsidR="00833D3B">
        <w:rPr>
          <w:rFonts w:ascii="Times New Roman" w:hAnsi="Times New Roman" w:cs="Times New Roman"/>
          <w:sz w:val="24"/>
          <w:szCs w:val="24"/>
        </w:rPr>
        <w:tab/>
      </w:r>
      <w:r w:rsidR="00833D3B">
        <w:rPr>
          <w:rFonts w:ascii="Times New Roman" w:hAnsi="Times New Roman" w:cs="Times New Roman"/>
          <w:sz w:val="24"/>
          <w:szCs w:val="24"/>
          <w:lang w:val="en-US"/>
        </w:rPr>
        <w:br/>
      </w:r>
      <w:r w:rsidR="00833D3B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="00833D3B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833D3B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833D3B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="00833D3B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833D3B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="00833D3B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="00833D3B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="00833D3B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="00833D3B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="00833D3B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833D3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833D3B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="00833D3B">
        <w:rPr>
          <w:rFonts w:ascii="Times New Roman" w:hAnsi="Times New Roman" w:cs="Times New Roman"/>
          <w:sz w:val="28"/>
          <w:szCs w:val="28"/>
        </w:rPr>
        <w:br/>
      </w:r>
      <w:r w:rsidR="00833D3B"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884482" w:rsidRPr="00884482" w:rsidRDefault="00884482" w:rsidP="0088448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B2125">
        <w:rPr>
          <w:rFonts w:ascii="Times New Roman" w:hAnsi="Times New Roman" w:cs="Times New Roman"/>
          <w:sz w:val="32"/>
          <w:szCs w:val="32"/>
        </w:rPr>
        <w:t>РЕШЕНИЕ №</w:t>
      </w:r>
      <w:r>
        <w:rPr>
          <w:rFonts w:ascii="Times New Roman" w:hAnsi="Times New Roman" w:cs="Times New Roman"/>
          <w:sz w:val="32"/>
          <w:szCs w:val="32"/>
        </w:rPr>
        <w:t>120</w:t>
      </w:r>
      <w:r w:rsidRPr="000B2125">
        <w:rPr>
          <w:rFonts w:ascii="Times New Roman" w:eastAsia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28</w:t>
      </w:r>
      <w:r>
        <w:rPr>
          <w:rFonts w:ascii="Times New Roman" w:eastAsia="Times New Roman" w:hAnsi="Times New Roman" w:cs="Times New Roman"/>
          <w:sz w:val="32"/>
          <w:szCs w:val="32"/>
        </w:rPr>
        <w:t>.10</w:t>
      </w:r>
      <w:r w:rsidRPr="000B2125">
        <w:rPr>
          <w:rFonts w:ascii="Times New Roman" w:eastAsia="Times New Roman" w:hAnsi="Times New Roman" w:cs="Times New Roman"/>
          <w:sz w:val="32"/>
          <w:szCs w:val="32"/>
        </w:rPr>
        <w:t>.201</w:t>
      </w:r>
      <w:r w:rsidRPr="000B212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8C5DB5" w:rsidRPr="00F56AE4" w:rsidRDefault="008C5DB5" w:rsidP="00F56AE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56A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ОТНОСНО: </w:t>
      </w:r>
      <w:r w:rsidRPr="00F56A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Одобряване на графичния  файл с образците  на бюлетините за</w:t>
      </w:r>
      <w:r w:rsidR="00E817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кмет</w:t>
      </w:r>
      <w:r w:rsidRPr="00F56A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кметство: </w:t>
      </w:r>
      <w:r w:rsidR="005377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с. Септемврийци, с. Златия, с. Мокреш</w:t>
      </w:r>
      <w:r w:rsidRPr="00F56A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изборите за общин</w:t>
      </w:r>
      <w:r w:rsidR="005377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ски съветници и за кметове на 03 ноември 2019 </w:t>
      </w:r>
      <w:r w:rsidRPr="00F56A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 втори тур  в изборен район 1211-Вълчедръм</w:t>
      </w:r>
    </w:p>
    <w:p w:rsidR="008E5664" w:rsidRPr="001C2D26" w:rsidRDefault="008E5664" w:rsidP="001C2D2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Решение № 1130–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 от 18 септември 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Решение № 630–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Pr="000B2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20 август 2019 г. Централната избирателна комисия е определила техническите характеристики  и образците на бюлетините в изборите за общински съветници и за кметове на 27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октомври 2019 г. –</w:t>
      </w:r>
      <w:r w:rsidR="004A5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№103-МИ бюлетина за кмет на кметство от изборните книжа. Съгласно разпоредбите на чл. 87, ал. 1, т. 9</w:t>
      </w:r>
      <w:r w:rsidR="00FB7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т.29 от Изборния кодекс,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Общинската избирателна комисия утвърждава образците на бюлетините за </w:t>
      </w:r>
      <w:r w:rsidR="001C2D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кметове на кметство с. Септемврийци, с. Златия, с. Мокреш </w:t>
      </w:r>
      <w:r w:rsidR="001C2D26" w:rsidRPr="001C2D26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общински съветници и за кметове на 03 ноември 2019 г. втори тур  в изборен район 1211-Вълчедръм</w:t>
      </w:r>
      <w:r w:rsidR="001C2D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5664" w:rsidRPr="00DD40AE" w:rsidRDefault="008E5664" w:rsidP="008E566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5664" w:rsidRDefault="008E5664" w:rsidP="008E566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Предвид гореизложеното и на основание  чл.87, ал.1, т.9</w:t>
      </w:r>
      <w:r w:rsidR="001C2D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т.29 от Изборния кодекс и Решение № 1130–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 от 18 септ</w:t>
      </w:r>
      <w:r w:rsidR="00ED6B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ември 2019 г. и Решение № 630–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 от 20 август 2019 г. Централната избирателна комисия, във връзка с чл.208 и чл.209 от 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ОИК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Вълчедръм</w:t>
      </w:r>
    </w:p>
    <w:p w:rsidR="008E5664" w:rsidRDefault="008E5664" w:rsidP="008E566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DB5" w:rsidRPr="00F56AE4" w:rsidRDefault="008C5DB5" w:rsidP="00F56AE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56A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 Е Ш И:</w:t>
      </w:r>
    </w:p>
    <w:p w:rsidR="008C5DB5" w:rsidRPr="00F56AE4" w:rsidRDefault="008C5DB5" w:rsidP="008C5DB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AE4">
        <w:rPr>
          <w:rFonts w:ascii="Times New Roman" w:hAnsi="Times New Roman" w:cs="Times New Roman"/>
          <w:b/>
          <w:sz w:val="24"/>
          <w:szCs w:val="24"/>
        </w:rPr>
        <w:t>Утвърждава</w:t>
      </w:r>
      <w:r w:rsidRPr="00F56AE4">
        <w:rPr>
          <w:rFonts w:ascii="Times New Roman" w:hAnsi="Times New Roman" w:cs="Times New Roman"/>
          <w:sz w:val="24"/>
          <w:szCs w:val="24"/>
        </w:rPr>
        <w:t xml:space="preserve"> чрез подписване образеца  на бюлетината в изборите за </w:t>
      </w:r>
      <w:r w:rsidR="001C2D26">
        <w:rPr>
          <w:rFonts w:ascii="Times New Roman" w:hAnsi="Times New Roman" w:cs="Times New Roman"/>
          <w:sz w:val="24"/>
          <w:szCs w:val="24"/>
        </w:rPr>
        <w:t>кмет</w:t>
      </w:r>
      <w:r w:rsidRPr="00F56AE4">
        <w:rPr>
          <w:rFonts w:ascii="Times New Roman" w:hAnsi="Times New Roman" w:cs="Times New Roman"/>
          <w:sz w:val="24"/>
          <w:szCs w:val="24"/>
        </w:rPr>
        <w:t xml:space="preserve"> на кметство с.</w:t>
      </w:r>
      <w:r w:rsidR="00F56AE4">
        <w:rPr>
          <w:rFonts w:ascii="Times New Roman" w:hAnsi="Times New Roman" w:cs="Times New Roman"/>
          <w:sz w:val="24"/>
          <w:szCs w:val="24"/>
        </w:rPr>
        <w:t xml:space="preserve"> </w:t>
      </w:r>
      <w:r w:rsidRPr="00F56AE4">
        <w:rPr>
          <w:rFonts w:ascii="Times New Roman" w:hAnsi="Times New Roman" w:cs="Times New Roman"/>
          <w:sz w:val="24"/>
          <w:szCs w:val="24"/>
        </w:rPr>
        <w:t>Септемврийци</w:t>
      </w:r>
    </w:p>
    <w:p w:rsidR="008C5DB5" w:rsidRPr="00F56AE4" w:rsidRDefault="008C5DB5" w:rsidP="008C5DB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AE4">
        <w:rPr>
          <w:rFonts w:ascii="Times New Roman" w:hAnsi="Times New Roman" w:cs="Times New Roman"/>
          <w:b/>
          <w:sz w:val="24"/>
          <w:szCs w:val="24"/>
        </w:rPr>
        <w:t>Утвърждава</w:t>
      </w:r>
      <w:r w:rsidRPr="00F56AE4">
        <w:rPr>
          <w:rFonts w:ascii="Times New Roman" w:hAnsi="Times New Roman" w:cs="Times New Roman"/>
          <w:sz w:val="24"/>
          <w:szCs w:val="24"/>
        </w:rPr>
        <w:t xml:space="preserve"> чрез подписване образеца  на бюлетината в изборите за</w:t>
      </w:r>
      <w:r w:rsidR="001C2D26">
        <w:rPr>
          <w:rFonts w:ascii="Times New Roman" w:hAnsi="Times New Roman" w:cs="Times New Roman"/>
          <w:sz w:val="24"/>
          <w:szCs w:val="24"/>
        </w:rPr>
        <w:t xml:space="preserve"> кмет на кметство</w:t>
      </w:r>
      <w:r w:rsidRPr="00F56AE4">
        <w:rPr>
          <w:rFonts w:ascii="Times New Roman" w:hAnsi="Times New Roman" w:cs="Times New Roman"/>
          <w:sz w:val="24"/>
          <w:szCs w:val="24"/>
        </w:rPr>
        <w:t xml:space="preserve"> с.</w:t>
      </w:r>
      <w:r w:rsidR="00F56AE4">
        <w:rPr>
          <w:rFonts w:ascii="Times New Roman" w:hAnsi="Times New Roman" w:cs="Times New Roman"/>
          <w:sz w:val="24"/>
          <w:szCs w:val="24"/>
        </w:rPr>
        <w:t xml:space="preserve"> Златия</w:t>
      </w:r>
    </w:p>
    <w:p w:rsidR="008C5DB5" w:rsidRPr="00F56AE4" w:rsidRDefault="008C5DB5" w:rsidP="008C5D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6AE4">
        <w:rPr>
          <w:rFonts w:ascii="Times New Roman" w:hAnsi="Times New Roman" w:cs="Times New Roman"/>
          <w:b/>
          <w:sz w:val="24"/>
          <w:szCs w:val="24"/>
        </w:rPr>
        <w:lastRenderedPageBreak/>
        <w:t>Утвърждава</w:t>
      </w:r>
      <w:r w:rsidRPr="00F56AE4">
        <w:rPr>
          <w:rFonts w:ascii="Times New Roman" w:hAnsi="Times New Roman" w:cs="Times New Roman"/>
          <w:sz w:val="24"/>
          <w:szCs w:val="24"/>
        </w:rPr>
        <w:t xml:space="preserve"> чрез подписване образеца  на бюлетината в изборите за </w:t>
      </w:r>
      <w:r w:rsidR="001C2D26">
        <w:rPr>
          <w:rFonts w:ascii="Times New Roman" w:hAnsi="Times New Roman" w:cs="Times New Roman"/>
          <w:sz w:val="24"/>
          <w:szCs w:val="24"/>
        </w:rPr>
        <w:t>кмет</w:t>
      </w:r>
      <w:r w:rsidRPr="00F56AE4">
        <w:rPr>
          <w:rFonts w:ascii="Times New Roman" w:hAnsi="Times New Roman" w:cs="Times New Roman"/>
          <w:sz w:val="24"/>
          <w:szCs w:val="24"/>
        </w:rPr>
        <w:t xml:space="preserve"> на кметство с.</w:t>
      </w:r>
      <w:r w:rsidR="00F56AE4">
        <w:rPr>
          <w:rFonts w:ascii="Times New Roman" w:hAnsi="Times New Roman" w:cs="Times New Roman"/>
          <w:sz w:val="24"/>
          <w:szCs w:val="24"/>
        </w:rPr>
        <w:t xml:space="preserve"> Мокреш</w:t>
      </w:r>
    </w:p>
    <w:p w:rsidR="008C5DB5" w:rsidRPr="00F56AE4" w:rsidRDefault="008C5DB5" w:rsidP="008C5DB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56AE4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</w:t>
      </w:r>
      <w:r w:rsidRPr="00F56A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3377" w:rsidRDefault="00502060" w:rsidP="004D2A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D2AC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p w:rsidR="00F56AE4" w:rsidRPr="00BD3877" w:rsidRDefault="00F56AE4" w:rsidP="004D2A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112" w:rsidRPr="00E23377" w:rsidRDefault="00E12112" w:rsidP="004D2AC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690E95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E07F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F9" w:rsidRDefault="002872F9" w:rsidP="00C6078D">
      <w:pPr>
        <w:spacing w:after="0" w:line="240" w:lineRule="auto"/>
      </w:pPr>
      <w:r>
        <w:separator/>
      </w:r>
    </w:p>
  </w:endnote>
  <w:endnote w:type="continuationSeparator" w:id="0">
    <w:p w:rsidR="002872F9" w:rsidRDefault="002872F9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F9" w:rsidRDefault="002872F9" w:rsidP="00C6078D">
      <w:pPr>
        <w:spacing w:after="0" w:line="240" w:lineRule="auto"/>
      </w:pPr>
      <w:r>
        <w:separator/>
      </w:r>
    </w:p>
  </w:footnote>
  <w:footnote w:type="continuationSeparator" w:id="0">
    <w:p w:rsidR="002872F9" w:rsidRDefault="002872F9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90A2E"/>
    <w:multiLevelType w:val="hybridMultilevel"/>
    <w:tmpl w:val="E85CD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E08BC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B29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95C60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90A06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389B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A4FF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D50AD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A4F0F"/>
    <w:multiLevelType w:val="hybridMultilevel"/>
    <w:tmpl w:val="EE720EDE"/>
    <w:lvl w:ilvl="0" w:tplc="C92AF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63877"/>
    <w:multiLevelType w:val="hybridMultilevel"/>
    <w:tmpl w:val="79B2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9133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850F9"/>
    <w:multiLevelType w:val="hybridMultilevel"/>
    <w:tmpl w:val="72581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17B2A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2277D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C2753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C5BD6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B7DEC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A6DE1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B6CC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C1C5E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2"/>
  </w:num>
  <w:num w:numId="5">
    <w:abstractNumId w:val="18"/>
  </w:num>
  <w:num w:numId="6">
    <w:abstractNumId w:val="0"/>
  </w:num>
  <w:num w:numId="7">
    <w:abstractNumId w:val="8"/>
  </w:num>
  <w:num w:numId="8">
    <w:abstractNumId w:val="2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30"/>
  </w:num>
  <w:num w:numId="13">
    <w:abstractNumId w:val="6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15"/>
  </w:num>
  <w:num w:numId="18">
    <w:abstractNumId w:val="16"/>
  </w:num>
  <w:num w:numId="19">
    <w:abstractNumId w:val="10"/>
  </w:num>
  <w:num w:numId="20">
    <w:abstractNumId w:val="5"/>
  </w:num>
  <w:num w:numId="21">
    <w:abstractNumId w:val="31"/>
  </w:num>
  <w:num w:numId="22">
    <w:abstractNumId w:val="7"/>
  </w:num>
  <w:num w:numId="23">
    <w:abstractNumId w:val="21"/>
  </w:num>
  <w:num w:numId="24">
    <w:abstractNumId w:val="32"/>
  </w:num>
  <w:num w:numId="25">
    <w:abstractNumId w:val="26"/>
  </w:num>
  <w:num w:numId="26">
    <w:abstractNumId w:val="12"/>
  </w:num>
  <w:num w:numId="27">
    <w:abstractNumId w:val="11"/>
  </w:num>
  <w:num w:numId="28">
    <w:abstractNumId w:val="23"/>
  </w:num>
  <w:num w:numId="29">
    <w:abstractNumId w:val="29"/>
  </w:num>
  <w:num w:numId="30">
    <w:abstractNumId w:val="9"/>
  </w:num>
  <w:num w:numId="31">
    <w:abstractNumId w:val="28"/>
  </w:num>
  <w:num w:numId="32">
    <w:abstractNumId w:val="24"/>
  </w:num>
  <w:num w:numId="33">
    <w:abstractNumId w:val="27"/>
  </w:num>
  <w:num w:numId="34">
    <w:abstractNumId w:val="1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35727"/>
    <w:rsid w:val="00051211"/>
    <w:rsid w:val="00061065"/>
    <w:rsid w:val="000735B3"/>
    <w:rsid w:val="0008534A"/>
    <w:rsid w:val="00095825"/>
    <w:rsid w:val="000B3F2B"/>
    <w:rsid w:val="000B67D4"/>
    <w:rsid w:val="000B6AC0"/>
    <w:rsid w:val="000C75E4"/>
    <w:rsid w:val="000E47E9"/>
    <w:rsid w:val="000E6D98"/>
    <w:rsid w:val="000F5FE7"/>
    <w:rsid w:val="000F768F"/>
    <w:rsid w:val="00100E69"/>
    <w:rsid w:val="00102E7C"/>
    <w:rsid w:val="001065E4"/>
    <w:rsid w:val="0011171C"/>
    <w:rsid w:val="0012090F"/>
    <w:rsid w:val="00124B55"/>
    <w:rsid w:val="00125BC5"/>
    <w:rsid w:val="00130FC7"/>
    <w:rsid w:val="00136173"/>
    <w:rsid w:val="00146E09"/>
    <w:rsid w:val="001556B8"/>
    <w:rsid w:val="00195C8A"/>
    <w:rsid w:val="00197051"/>
    <w:rsid w:val="001A7E84"/>
    <w:rsid w:val="001C2D26"/>
    <w:rsid w:val="001C43FB"/>
    <w:rsid w:val="001D01DB"/>
    <w:rsid w:val="001D4127"/>
    <w:rsid w:val="001D71BA"/>
    <w:rsid w:val="001D71DA"/>
    <w:rsid w:val="001E261B"/>
    <w:rsid w:val="001E772F"/>
    <w:rsid w:val="001F2E0D"/>
    <w:rsid w:val="001F59FC"/>
    <w:rsid w:val="00211FE9"/>
    <w:rsid w:val="002224D4"/>
    <w:rsid w:val="002454C2"/>
    <w:rsid w:val="00252128"/>
    <w:rsid w:val="00257173"/>
    <w:rsid w:val="00257381"/>
    <w:rsid w:val="00260942"/>
    <w:rsid w:val="0027271F"/>
    <w:rsid w:val="00276594"/>
    <w:rsid w:val="00282442"/>
    <w:rsid w:val="002872F9"/>
    <w:rsid w:val="00293A40"/>
    <w:rsid w:val="002A4118"/>
    <w:rsid w:val="002A738C"/>
    <w:rsid w:val="002B483C"/>
    <w:rsid w:val="002D13A7"/>
    <w:rsid w:val="002D3AFE"/>
    <w:rsid w:val="002D5A04"/>
    <w:rsid w:val="002F20A1"/>
    <w:rsid w:val="002F4F10"/>
    <w:rsid w:val="002F61AD"/>
    <w:rsid w:val="002F6D3D"/>
    <w:rsid w:val="00302E73"/>
    <w:rsid w:val="00306B0F"/>
    <w:rsid w:val="00322C4A"/>
    <w:rsid w:val="00325A4B"/>
    <w:rsid w:val="003266B5"/>
    <w:rsid w:val="00342228"/>
    <w:rsid w:val="00383DC9"/>
    <w:rsid w:val="00387475"/>
    <w:rsid w:val="003906D8"/>
    <w:rsid w:val="00393A78"/>
    <w:rsid w:val="003A383A"/>
    <w:rsid w:val="003C61F0"/>
    <w:rsid w:val="003D3964"/>
    <w:rsid w:val="003D78CE"/>
    <w:rsid w:val="0040251F"/>
    <w:rsid w:val="00405D04"/>
    <w:rsid w:val="00410B76"/>
    <w:rsid w:val="00417820"/>
    <w:rsid w:val="004235BE"/>
    <w:rsid w:val="00430434"/>
    <w:rsid w:val="00470015"/>
    <w:rsid w:val="004803FE"/>
    <w:rsid w:val="00481EC3"/>
    <w:rsid w:val="00487E6D"/>
    <w:rsid w:val="00487F4F"/>
    <w:rsid w:val="00493AE7"/>
    <w:rsid w:val="004A038F"/>
    <w:rsid w:val="004A591E"/>
    <w:rsid w:val="004B2034"/>
    <w:rsid w:val="004C1E17"/>
    <w:rsid w:val="004C5151"/>
    <w:rsid w:val="004D2AC4"/>
    <w:rsid w:val="004E23D4"/>
    <w:rsid w:val="004F123D"/>
    <w:rsid w:val="00502060"/>
    <w:rsid w:val="00516116"/>
    <w:rsid w:val="005310B7"/>
    <w:rsid w:val="00534FC3"/>
    <w:rsid w:val="0053773C"/>
    <w:rsid w:val="00553D3D"/>
    <w:rsid w:val="00554ED5"/>
    <w:rsid w:val="005552F3"/>
    <w:rsid w:val="005602C5"/>
    <w:rsid w:val="00575309"/>
    <w:rsid w:val="00577201"/>
    <w:rsid w:val="0059490D"/>
    <w:rsid w:val="00595950"/>
    <w:rsid w:val="00597B7C"/>
    <w:rsid w:val="005B470A"/>
    <w:rsid w:val="005B58D0"/>
    <w:rsid w:val="005F1D3B"/>
    <w:rsid w:val="006066AB"/>
    <w:rsid w:val="00606D70"/>
    <w:rsid w:val="0060724D"/>
    <w:rsid w:val="006108BC"/>
    <w:rsid w:val="006126A7"/>
    <w:rsid w:val="00613D34"/>
    <w:rsid w:val="00614A9C"/>
    <w:rsid w:val="00622335"/>
    <w:rsid w:val="006353F1"/>
    <w:rsid w:val="0065720A"/>
    <w:rsid w:val="0066254D"/>
    <w:rsid w:val="00674B5D"/>
    <w:rsid w:val="006771CA"/>
    <w:rsid w:val="0068603B"/>
    <w:rsid w:val="00690E95"/>
    <w:rsid w:val="006911BF"/>
    <w:rsid w:val="00692B11"/>
    <w:rsid w:val="00694E8F"/>
    <w:rsid w:val="00696061"/>
    <w:rsid w:val="006A0DBC"/>
    <w:rsid w:val="006A5FD3"/>
    <w:rsid w:val="006B0337"/>
    <w:rsid w:val="006B64EC"/>
    <w:rsid w:val="006B79F1"/>
    <w:rsid w:val="006C01FD"/>
    <w:rsid w:val="006D0ED2"/>
    <w:rsid w:val="006D62C1"/>
    <w:rsid w:val="006E1B7C"/>
    <w:rsid w:val="006F3260"/>
    <w:rsid w:val="006F7DE2"/>
    <w:rsid w:val="00703747"/>
    <w:rsid w:val="00705952"/>
    <w:rsid w:val="007137B9"/>
    <w:rsid w:val="00720C6F"/>
    <w:rsid w:val="0072162E"/>
    <w:rsid w:val="007221F7"/>
    <w:rsid w:val="00733B32"/>
    <w:rsid w:val="00733FBB"/>
    <w:rsid w:val="00743E3B"/>
    <w:rsid w:val="0077268E"/>
    <w:rsid w:val="00780E8D"/>
    <w:rsid w:val="007940D5"/>
    <w:rsid w:val="007B4EA5"/>
    <w:rsid w:val="007C29C2"/>
    <w:rsid w:val="007C6790"/>
    <w:rsid w:val="007D4CFC"/>
    <w:rsid w:val="007F0345"/>
    <w:rsid w:val="007F1B84"/>
    <w:rsid w:val="00800C40"/>
    <w:rsid w:val="008171F3"/>
    <w:rsid w:val="00833A01"/>
    <w:rsid w:val="00833D3B"/>
    <w:rsid w:val="008510E7"/>
    <w:rsid w:val="00861086"/>
    <w:rsid w:val="00861AD5"/>
    <w:rsid w:val="008759C4"/>
    <w:rsid w:val="00881936"/>
    <w:rsid w:val="00884482"/>
    <w:rsid w:val="008939DA"/>
    <w:rsid w:val="008A4CBC"/>
    <w:rsid w:val="008B6589"/>
    <w:rsid w:val="008C249F"/>
    <w:rsid w:val="008C5555"/>
    <w:rsid w:val="008C5DB5"/>
    <w:rsid w:val="008E5664"/>
    <w:rsid w:val="008E591D"/>
    <w:rsid w:val="009017D2"/>
    <w:rsid w:val="00906AA1"/>
    <w:rsid w:val="00911FD2"/>
    <w:rsid w:val="00916B02"/>
    <w:rsid w:val="00917760"/>
    <w:rsid w:val="00931AF3"/>
    <w:rsid w:val="00933158"/>
    <w:rsid w:val="009614E0"/>
    <w:rsid w:val="00965204"/>
    <w:rsid w:val="00971375"/>
    <w:rsid w:val="00973EA3"/>
    <w:rsid w:val="00990AE2"/>
    <w:rsid w:val="00992BE1"/>
    <w:rsid w:val="009D0948"/>
    <w:rsid w:val="009D14CA"/>
    <w:rsid w:val="009D7A1E"/>
    <w:rsid w:val="009D7ADD"/>
    <w:rsid w:val="009E6F10"/>
    <w:rsid w:val="00A07C8A"/>
    <w:rsid w:val="00A313E0"/>
    <w:rsid w:val="00A31E41"/>
    <w:rsid w:val="00A5684C"/>
    <w:rsid w:val="00A67533"/>
    <w:rsid w:val="00A71DC0"/>
    <w:rsid w:val="00A76179"/>
    <w:rsid w:val="00A82780"/>
    <w:rsid w:val="00A83D13"/>
    <w:rsid w:val="00A87279"/>
    <w:rsid w:val="00A8777A"/>
    <w:rsid w:val="00A87CDD"/>
    <w:rsid w:val="00AA5D89"/>
    <w:rsid w:val="00AB3C69"/>
    <w:rsid w:val="00AC20D0"/>
    <w:rsid w:val="00AC7715"/>
    <w:rsid w:val="00AD6ECE"/>
    <w:rsid w:val="00B01D6B"/>
    <w:rsid w:val="00B04463"/>
    <w:rsid w:val="00B13B6E"/>
    <w:rsid w:val="00B24A33"/>
    <w:rsid w:val="00B41D00"/>
    <w:rsid w:val="00B4312F"/>
    <w:rsid w:val="00B5127A"/>
    <w:rsid w:val="00B57ED2"/>
    <w:rsid w:val="00B64F12"/>
    <w:rsid w:val="00B70D26"/>
    <w:rsid w:val="00B90BA4"/>
    <w:rsid w:val="00B90FD1"/>
    <w:rsid w:val="00BA20A9"/>
    <w:rsid w:val="00BB7B80"/>
    <w:rsid w:val="00BC3AD1"/>
    <w:rsid w:val="00BD3877"/>
    <w:rsid w:val="00BE0005"/>
    <w:rsid w:val="00BE64C6"/>
    <w:rsid w:val="00BF1962"/>
    <w:rsid w:val="00C11EF5"/>
    <w:rsid w:val="00C122B1"/>
    <w:rsid w:val="00C248C1"/>
    <w:rsid w:val="00C45C0E"/>
    <w:rsid w:val="00C51313"/>
    <w:rsid w:val="00C5328A"/>
    <w:rsid w:val="00C54E2B"/>
    <w:rsid w:val="00C57F7A"/>
    <w:rsid w:val="00C6078D"/>
    <w:rsid w:val="00C61B5A"/>
    <w:rsid w:val="00C764BA"/>
    <w:rsid w:val="00C93443"/>
    <w:rsid w:val="00CA2123"/>
    <w:rsid w:val="00CA639D"/>
    <w:rsid w:val="00CB0A75"/>
    <w:rsid w:val="00CC0A23"/>
    <w:rsid w:val="00CD652B"/>
    <w:rsid w:val="00CD7370"/>
    <w:rsid w:val="00D07369"/>
    <w:rsid w:val="00D12709"/>
    <w:rsid w:val="00D1643D"/>
    <w:rsid w:val="00D248AB"/>
    <w:rsid w:val="00D315CE"/>
    <w:rsid w:val="00D437CB"/>
    <w:rsid w:val="00D45714"/>
    <w:rsid w:val="00D52CFC"/>
    <w:rsid w:val="00D5527C"/>
    <w:rsid w:val="00D57B6F"/>
    <w:rsid w:val="00D65865"/>
    <w:rsid w:val="00D65A2F"/>
    <w:rsid w:val="00D67899"/>
    <w:rsid w:val="00D719BB"/>
    <w:rsid w:val="00D80C43"/>
    <w:rsid w:val="00D850E4"/>
    <w:rsid w:val="00D962FD"/>
    <w:rsid w:val="00DA1629"/>
    <w:rsid w:val="00DA3875"/>
    <w:rsid w:val="00DD1563"/>
    <w:rsid w:val="00DE2CF9"/>
    <w:rsid w:val="00DE3A90"/>
    <w:rsid w:val="00DF6492"/>
    <w:rsid w:val="00E05FBD"/>
    <w:rsid w:val="00E07FAE"/>
    <w:rsid w:val="00E12112"/>
    <w:rsid w:val="00E23377"/>
    <w:rsid w:val="00E35AEF"/>
    <w:rsid w:val="00E50360"/>
    <w:rsid w:val="00E561CE"/>
    <w:rsid w:val="00E608E5"/>
    <w:rsid w:val="00E61034"/>
    <w:rsid w:val="00E6253E"/>
    <w:rsid w:val="00E702FC"/>
    <w:rsid w:val="00E70E43"/>
    <w:rsid w:val="00E714DC"/>
    <w:rsid w:val="00E73B85"/>
    <w:rsid w:val="00E77467"/>
    <w:rsid w:val="00E81787"/>
    <w:rsid w:val="00E82CF6"/>
    <w:rsid w:val="00E83549"/>
    <w:rsid w:val="00E87B0D"/>
    <w:rsid w:val="00E91341"/>
    <w:rsid w:val="00E95CDD"/>
    <w:rsid w:val="00E97E4C"/>
    <w:rsid w:val="00EA42D1"/>
    <w:rsid w:val="00EB7F37"/>
    <w:rsid w:val="00EC2719"/>
    <w:rsid w:val="00EC59BB"/>
    <w:rsid w:val="00ED0A85"/>
    <w:rsid w:val="00ED2DE8"/>
    <w:rsid w:val="00ED6B1A"/>
    <w:rsid w:val="00EE2AC0"/>
    <w:rsid w:val="00EE6BA2"/>
    <w:rsid w:val="00F10C0A"/>
    <w:rsid w:val="00F211CE"/>
    <w:rsid w:val="00F30989"/>
    <w:rsid w:val="00F418EE"/>
    <w:rsid w:val="00F56AE4"/>
    <w:rsid w:val="00F66ECD"/>
    <w:rsid w:val="00F82B6E"/>
    <w:rsid w:val="00F851AF"/>
    <w:rsid w:val="00F92033"/>
    <w:rsid w:val="00FA412D"/>
    <w:rsid w:val="00FB7507"/>
    <w:rsid w:val="00FD0F90"/>
    <w:rsid w:val="00FD140C"/>
    <w:rsid w:val="00FD161B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  <w:style w:type="paragraph" w:styleId="ac">
    <w:name w:val="Balloon Text"/>
    <w:basedOn w:val="a"/>
    <w:link w:val="ad"/>
    <w:uiPriority w:val="99"/>
    <w:semiHidden/>
    <w:unhideWhenUsed/>
    <w:rsid w:val="00A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8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C096-EA03-459C-9D5F-7527F9E5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327</cp:revision>
  <cp:lastPrinted>2019-10-23T12:52:00Z</cp:lastPrinted>
  <dcterms:created xsi:type="dcterms:W3CDTF">2015-10-01T07:34:00Z</dcterms:created>
  <dcterms:modified xsi:type="dcterms:W3CDTF">2019-10-28T15:44:00Z</dcterms:modified>
</cp:coreProperties>
</file>